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</w:pPr>
      <w:r>
        <w:t>Trimagnesium</w:t>
      </w:r>
      <w:r>
        <w:rPr>
          <w:spacing w:val="-18"/>
        </w:rPr>
        <w:t xml:space="preserve"> </w:t>
      </w:r>
      <w:r>
        <w:t>Phosphate</w:t>
      </w:r>
    </w:p>
    <w:p>
      <w:pPr>
        <w:pStyle w:val="2"/>
        <w:spacing w:before="278"/>
        <w:rPr>
          <w:u w:val="none"/>
        </w:rPr>
      </w:pPr>
      <w:r>
        <w:rPr>
          <w:u w:val="thick"/>
        </w:rPr>
        <w:t>General</w:t>
      </w:r>
      <w:r>
        <w:rPr>
          <w:spacing w:val="-4"/>
          <w:u w:val="thick"/>
        </w:rPr>
        <w:t xml:space="preserve"> </w:t>
      </w:r>
      <w:r>
        <w:rPr>
          <w:u w:val="thick"/>
        </w:rPr>
        <w:t>Characteristics:</w:t>
      </w:r>
    </w:p>
    <w:p>
      <w:pPr>
        <w:pStyle w:val="3"/>
        <w:spacing w:before="5"/>
        <w:ind w:left="0"/>
        <w:rPr>
          <w:b/>
          <w:sz w:val="23"/>
        </w:rPr>
      </w:pPr>
    </w:p>
    <w:p>
      <w:pPr>
        <w:tabs>
          <w:tab w:val="left" w:pos="2847"/>
        </w:tabs>
        <w:spacing w:before="87"/>
        <w:ind w:left="308" w:right="0" w:firstLine="0"/>
        <w:jc w:val="left"/>
        <w:rPr>
          <w:sz w:val="24"/>
        </w:rPr>
      </w:pPr>
      <w:r>
        <w:rPr>
          <w:b/>
          <w:position w:val="2"/>
          <w:sz w:val="24"/>
        </w:rPr>
        <w:t>Formula:</w:t>
      </w:r>
      <w:r>
        <w:rPr>
          <w:b/>
          <w:position w:val="2"/>
          <w:sz w:val="24"/>
        </w:rPr>
        <w:tab/>
      </w:r>
      <w:r>
        <w:rPr>
          <w:position w:val="2"/>
          <w:sz w:val="24"/>
        </w:rPr>
        <w:t>Mg</w:t>
      </w:r>
      <w:r>
        <w:rPr>
          <w:sz w:val="15"/>
        </w:rPr>
        <w:t>3</w:t>
      </w:r>
      <w:r>
        <w:rPr>
          <w:position w:val="2"/>
          <w:sz w:val="24"/>
        </w:rPr>
        <w:t>(PO</w:t>
      </w:r>
      <w:r>
        <w:rPr>
          <w:sz w:val="15"/>
        </w:rPr>
        <w:t>4</w:t>
      </w:r>
      <w:r>
        <w:rPr>
          <w:position w:val="2"/>
          <w:sz w:val="24"/>
        </w:rPr>
        <w:t>)</w:t>
      </w:r>
      <w:r>
        <w:rPr>
          <w:sz w:val="15"/>
        </w:rPr>
        <w:t>2·</w:t>
      </w:r>
      <w:r>
        <w:rPr>
          <w:position w:val="2"/>
          <w:sz w:val="24"/>
        </w:rPr>
        <w:t>5H</w:t>
      </w:r>
      <w:r>
        <w:rPr>
          <w:sz w:val="15"/>
        </w:rPr>
        <w:t>2</w:t>
      </w:r>
      <w:r>
        <w:rPr>
          <w:position w:val="2"/>
          <w:sz w:val="24"/>
        </w:rPr>
        <w:t>O</w:t>
      </w:r>
    </w:p>
    <w:p>
      <w:pPr>
        <w:tabs>
          <w:tab w:val="right" w:pos="3507"/>
        </w:tabs>
        <w:spacing w:before="34"/>
        <w:ind w:left="308" w:right="0" w:firstLine="0"/>
        <w:jc w:val="left"/>
        <w:rPr>
          <w:sz w:val="24"/>
        </w:rPr>
      </w:pPr>
      <w:r>
        <w:rPr>
          <w:b/>
          <w:sz w:val="24"/>
        </w:rPr>
        <w:t>Molecular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weight:</w:t>
      </w:r>
      <w:r>
        <w:rPr>
          <w:b/>
          <w:sz w:val="24"/>
        </w:rPr>
        <w:tab/>
      </w:r>
      <w:r>
        <w:rPr>
          <w:sz w:val="24"/>
        </w:rPr>
        <w:t>262.86</w:t>
      </w:r>
    </w:p>
    <w:p>
      <w:pPr>
        <w:tabs>
          <w:tab w:val="left" w:pos="2847"/>
        </w:tabs>
        <w:spacing w:before="24"/>
        <w:ind w:left="308" w:right="0" w:firstLine="0"/>
        <w:jc w:val="left"/>
        <w:rPr>
          <w:sz w:val="24"/>
        </w:rPr>
      </w:pPr>
      <w:r>
        <w:rPr>
          <w:b/>
          <w:sz w:val="24"/>
        </w:rPr>
        <w:t>Appearance:</w:t>
      </w:r>
      <w:r>
        <w:rPr>
          <w:b/>
          <w:sz w:val="24"/>
        </w:rPr>
        <w:tab/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white</w:t>
      </w:r>
      <w:r>
        <w:rPr>
          <w:spacing w:val="-3"/>
          <w:sz w:val="24"/>
        </w:rPr>
        <w:t xml:space="preserve"> </w:t>
      </w:r>
      <w:r>
        <w:rPr>
          <w:sz w:val="24"/>
        </w:rPr>
        <w:t>crystalline</w:t>
      </w:r>
      <w:r>
        <w:rPr>
          <w:spacing w:val="-2"/>
          <w:sz w:val="24"/>
        </w:rPr>
        <w:t xml:space="preserve"> </w:t>
      </w:r>
      <w:r>
        <w:rPr>
          <w:sz w:val="24"/>
        </w:rPr>
        <w:t>powder</w:t>
      </w:r>
    </w:p>
    <w:p>
      <w:pPr>
        <w:tabs>
          <w:tab w:val="left" w:pos="2847"/>
        </w:tabs>
        <w:spacing w:before="36"/>
        <w:ind w:left="308" w:right="0" w:firstLine="0"/>
        <w:jc w:val="left"/>
        <w:rPr>
          <w:sz w:val="24"/>
        </w:rPr>
      </w:pPr>
      <w:r>
        <w:rPr>
          <w:b/>
          <w:sz w:val="24"/>
        </w:rPr>
        <w:t>Odor:</w:t>
      </w:r>
      <w:r>
        <w:rPr>
          <w:b/>
          <w:sz w:val="24"/>
        </w:rPr>
        <w:tab/>
      </w:r>
      <w:r>
        <w:rPr>
          <w:sz w:val="24"/>
        </w:rPr>
        <w:t>Odorless</w:t>
      </w:r>
    </w:p>
    <w:p>
      <w:pPr>
        <w:tabs>
          <w:tab w:val="right" w:pos="3846"/>
        </w:tabs>
        <w:spacing w:before="0"/>
        <w:ind w:left="308" w:right="0" w:firstLine="0"/>
        <w:jc w:val="left"/>
        <w:rPr>
          <w:sz w:val="24"/>
        </w:rPr>
      </w:pPr>
      <w:r>
        <w:rPr>
          <w:b/>
          <w:sz w:val="24"/>
        </w:rPr>
        <w:t>CAS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Number:</w:t>
      </w:r>
      <w:r>
        <w:rPr>
          <w:b/>
          <w:sz w:val="24"/>
        </w:rPr>
        <w:tab/>
      </w:r>
      <w:r>
        <w:rPr>
          <w:position w:val="-1"/>
          <w:sz w:val="24"/>
        </w:rPr>
        <w:t>7757-87-1</w:t>
      </w:r>
    </w:p>
    <w:p>
      <w:pPr>
        <w:tabs>
          <w:tab w:val="left" w:pos="2847"/>
        </w:tabs>
        <w:spacing w:before="40"/>
        <w:ind w:left="308" w:right="0" w:firstLine="0"/>
        <w:jc w:val="left"/>
        <w:rPr>
          <w:sz w:val="24"/>
        </w:rPr>
      </w:pPr>
      <w:r>
        <w:rPr>
          <w:b/>
          <w:sz w:val="24"/>
        </w:rPr>
        <w:t>EINECS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No.:</w:t>
      </w:r>
      <w:r>
        <w:rPr>
          <w:b/>
          <w:sz w:val="24"/>
        </w:rPr>
        <w:tab/>
      </w:r>
      <w:r>
        <w:rPr>
          <w:sz w:val="24"/>
        </w:rPr>
        <w:t>231-824-0</w:t>
      </w:r>
    </w:p>
    <w:p>
      <w:pPr>
        <w:tabs>
          <w:tab w:val="left" w:pos="2847"/>
        </w:tabs>
        <w:spacing w:before="31"/>
        <w:ind w:left="308" w:right="0" w:firstLine="0"/>
        <w:jc w:val="left"/>
        <w:rPr>
          <w:sz w:val="24"/>
        </w:rPr>
      </w:pPr>
      <w:r>
        <w:rPr>
          <w:b/>
          <w:sz w:val="24"/>
        </w:rPr>
        <w:t>INS:</w:t>
      </w:r>
      <w:r>
        <w:rPr>
          <w:b/>
          <w:sz w:val="24"/>
        </w:rPr>
        <w:tab/>
      </w:r>
      <w:r>
        <w:rPr>
          <w:sz w:val="24"/>
        </w:rPr>
        <w:t>334(iii)</w:t>
      </w:r>
    </w:p>
    <w:p>
      <w:pPr>
        <w:pStyle w:val="3"/>
        <w:spacing w:before="2" w:line="237" w:lineRule="auto"/>
        <w:ind w:left="2848" w:right="1429"/>
      </w:pPr>
      <w:r>
        <w:pict>
          <v:shape id="_x0000_s2050" o:spid="_x0000_s2050" o:spt="202" type="#_x0000_t202" style="position:absolute;left:0pt;margin-left:97.4pt;margin-top:8.5pt;height:13.3pt;width:61.35pt;mso-position-horizontal-relative:page;z-index:251659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266" w:lineRule="exact"/>
                    <w:ind w:left="0" w:right="0" w:firstLine="0"/>
                    <w:jc w:val="left"/>
                    <w:rPr>
                      <w:rFonts w:hint="eastAsia" w:ascii="宋体" w:eastAsia="宋体"/>
                      <w:sz w:val="24"/>
                    </w:rPr>
                  </w:pPr>
                  <w:r>
                    <w:rPr>
                      <w:b/>
                      <w:spacing w:val="-1"/>
                      <w:sz w:val="24"/>
                    </w:rPr>
                    <w:t>Solubility</w:t>
                  </w:r>
                  <w:r>
                    <w:rPr>
                      <w:rFonts w:hint="eastAsia" w:ascii="宋体" w:eastAsia="宋体"/>
                      <w:spacing w:val="-1"/>
                      <w:sz w:val="24"/>
                    </w:rPr>
                    <w:t>：</w:t>
                  </w:r>
                </w:p>
              </w:txbxContent>
            </v:textbox>
          </v:shape>
        </w:pict>
      </w:r>
      <w:r>
        <w:t>It is readily soluble in dilute mineral acids, but</w:t>
      </w:r>
      <w:r>
        <w:rPr>
          <w:spacing w:val="-57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almost</w:t>
      </w:r>
      <w:r>
        <w:rPr>
          <w:spacing w:val="-2"/>
        </w:rPr>
        <w:t xml:space="preserve"> </w:t>
      </w:r>
      <w:r>
        <w:t>insoluble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water.</w:t>
      </w:r>
    </w:p>
    <w:p>
      <w:pPr>
        <w:pStyle w:val="2"/>
        <w:spacing w:before="133"/>
        <w:rPr>
          <w:u w:val="none"/>
        </w:rPr>
      </w:pPr>
      <w:r>
        <w:rPr>
          <w:u w:val="thick"/>
        </w:rPr>
        <w:t>Uses:</w:t>
      </w:r>
    </w:p>
    <w:p>
      <w:pPr>
        <w:pStyle w:val="10"/>
        <w:numPr>
          <w:ilvl w:val="0"/>
          <w:numId w:val="1"/>
        </w:numPr>
        <w:tabs>
          <w:tab w:val="left" w:pos="579"/>
          <w:tab w:val="left" w:pos="580"/>
        </w:tabs>
        <w:spacing w:before="160" w:after="0" w:line="240" w:lineRule="auto"/>
        <w:ind w:left="580" w:right="0" w:hanging="420"/>
        <w:jc w:val="left"/>
        <w:rPr>
          <w:rFonts w:ascii="Wingdings" w:hAnsi="Wingdings"/>
          <w:sz w:val="24"/>
        </w:rPr>
      </w:pPr>
      <w:r>
        <w:rPr>
          <w:sz w:val="24"/>
        </w:rPr>
        <w:t>Nutritional</w:t>
      </w:r>
      <w:r>
        <w:rPr>
          <w:spacing w:val="-2"/>
          <w:sz w:val="24"/>
        </w:rPr>
        <w:t xml:space="preserve"> </w:t>
      </w:r>
      <w:r>
        <w:rPr>
          <w:sz w:val="24"/>
        </w:rPr>
        <w:t>supplement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food</w:t>
      </w:r>
    </w:p>
    <w:p>
      <w:pPr>
        <w:pStyle w:val="10"/>
        <w:numPr>
          <w:ilvl w:val="0"/>
          <w:numId w:val="1"/>
        </w:numPr>
        <w:tabs>
          <w:tab w:val="left" w:pos="579"/>
          <w:tab w:val="left" w:pos="580"/>
        </w:tabs>
        <w:spacing w:before="44" w:after="0" w:line="240" w:lineRule="auto"/>
        <w:ind w:left="580" w:right="0" w:hanging="420"/>
        <w:jc w:val="left"/>
        <w:rPr>
          <w:rFonts w:ascii="Wingdings" w:hAnsi="Wingdings"/>
          <w:sz w:val="24"/>
        </w:rPr>
      </w:pPr>
      <w:r>
        <w:rPr>
          <w:sz w:val="24"/>
        </w:rPr>
        <w:t>Anti-caking</w:t>
      </w:r>
      <w:r>
        <w:rPr>
          <w:spacing w:val="-3"/>
          <w:sz w:val="24"/>
        </w:rPr>
        <w:t xml:space="preserve"> </w:t>
      </w:r>
      <w:r>
        <w:rPr>
          <w:sz w:val="24"/>
        </w:rPr>
        <w:t>agent</w:t>
      </w:r>
    </w:p>
    <w:p>
      <w:pPr>
        <w:pStyle w:val="10"/>
        <w:numPr>
          <w:ilvl w:val="0"/>
          <w:numId w:val="1"/>
        </w:numPr>
        <w:tabs>
          <w:tab w:val="left" w:pos="579"/>
          <w:tab w:val="left" w:pos="580"/>
        </w:tabs>
        <w:spacing w:before="43" w:after="0" w:line="240" w:lineRule="auto"/>
        <w:ind w:left="580" w:right="0" w:hanging="420"/>
        <w:jc w:val="left"/>
        <w:rPr>
          <w:rFonts w:ascii="Wingdings" w:hAnsi="Wingdings"/>
          <w:sz w:val="24"/>
        </w:rPr>
      </w:pPr>
      <w:r>
        <w:rPr>
          <w:sz w:val="24"/>
        </w:rPr>
        <w:t>PH</w:t>
      </w:r>
      <w:r>
        <w:rPr>
          <w:spacing w:val="-5"/>
          <w:sz w:val="24"/>
        </w:rPr>
        <w:t xml:space="preserve"> </w:t>
      </w:r>
      <w:r>
        <w:rPr>
          <w:sz w:val="24"/>
        </w:rPr>
        <w:t>regulator</w:t>
      </w:r>
      <w:r>
        <w:rPr>
          <w:spacing w:val="3"/>
          <w:sz w:val="24"/>
        </w:rPr>
        <w:t xml:space="preserve"> </w:t>
      </w:r>
      <w:r>
        <w:rPr>
          <w:sz w:val="24"/>
        </w:rPr>
        <w:t>agent</w:t>
      </w:r>
    </w:p>
    <w:p>
      <w:pPr>
        <w:pStyle w:val="10"/>
        <w:numPr>
          <w:ilvl w:val="0"/>
          <w:numId w:val="1"/>
        </w:numPr>
        <w:tabs>
          <w:tab w:val="left" w:pos="579"/>
          <w:tab w:val="left" w:pos="580"/>
        </w:tabs>
        <w:spacing w:before="46" w:after="0" w:line="240" w:lineRule="auto"/>
        <w:ind w:left="580" w:right="0" w:hanging="420"/>
        <w:jc w:val="left"/>
        <w:rPr>
          <w:rFonts w:ascii="Wingdings" w:hAnsi="Wingdings"/>
          <w:sz w:val="24"/>
        </w:rPr>
      </w:pPr>
      <w:r>
        <w:rPr>
          <w:sz w:val="24"/>
        </w:rPr>
        <w:t>Stability</w:t>
      </w:r>
      <w:r>
        <w:rPr>
          <w:spacing w:val="-3"/>
          <w:sz w:val="24"/>
        </w:rPr>
        <w:t xml:space="preserve"> </w:t>
      </w:r>
      <w:r>
        <w:rPr>
          <w:sz w:val="24"/>
        </w:rPr>
        <w:t>agent</w:t>
      </w:r>
    </w:p>
    <w:p>
      <w:pPr>
        <w:pStyle w:val="2"/>
        <w:spacing w:before="138"/>
        <w:rPr>
          <w:u w:val="none"/>
        </w:rPr>
      </w:pPr>
      <w:r>
        <w:rPr>
          <w:u w:val="thick"/>
        </w:rPr>
        <w:t>Packing</w:t>
      </w:r>
      <w:r>
        <w:rPr>
          <w:spacing w:val="-2"/>
          <w:u w:val="thick"/>
        </w:rPr>
        <w:t xml:space="preserve"> </w:t>
      </w:r>
      <w:r>
        <w:rPr>
          <w:u w:val="thick"/>
        </w:rPr>
        <w:t>and</w:t>
      </w:r>
      <w:r>
        <w:rPr>
          <w:spacing w:val="-1"/>
          <w:u w:val="thick"/>
        </w:rPr>
        <w:t xml:space="preserve"> </w:t>
      </w:r>
      <w:r>
        <w:rPr>
          <w:u w:val="thick"/>
        </w:rPr>
        <w:t>Storage:</w:t>
      </w:r>
    </w:p>
    <w:p>
      <w:pPr>
        <w:pStyle w:val="10"/>
        <w:numPr>
          <w:ilvl w:val="0"/>
          <w:numId w:val="1"/>
        </w:numPr>
        <w:tabs>
          <w:tab w:val="left" w:pos="579"/>
          <w:tab w:val="left" w:pos="580"/>
        </w:tabs>
        <w:spacing w:before="161" w:after="0" w:line="240" w:lineRule="auto"/>
        <w:ind w:left="580" w:right="0" w:hanging="420"/>
        <w:jc w:val="left"/>
        <w:rPr>
          <w:rFonts w:ascii="Wingdings" w:hAnsi="Wingdings"/>
          <w:sz w:val="24"/>
        </w:rPr>
      </w:pPr>
      <w:r>
        <w:rPr>
          <w:sz w:val="24"/>
        </w:rPr>
        <w:t>25kg</w:t>
      </w:r>
      <w:r>
        <w:rPr>
          <w:spacing w:val="-2"/>
          <w:sz w:val="24"/>
        </w:rPr>
        <w:t xml:space="preserve"> </w:t>
      </w:r>
      <w:r>
        <w:rPr>
          <w:sz w:val="24"/>
        </w:rPr>
        <w:t>net</w:t>
      </w:r>
      <w:r>
        <w:rPr>
          <w:spacing w:val="-1"/>
          <w:sz w:val="24"/>
        </w:rPr>
        <w:t xml:space="preserve"> </w:t>
      </w:r>
      <w:r>
        <w:rPr>
          <w:sz w:val="24"/>
        </w:rPr>
        <w:t>paper</w:t>
      </w:r>
      <w:r>
        <w:rPr>
          <w:spacing w:val="-1"/>
          <w:sz w:val="24"/>
        </w:rPr>
        <w:t xml:space="preserve"> </w:t>
      </w:r>
      <w:r>
        <w:rPr>
          <w:sz w:val="24"/>
        </w:rPr>
        <w:t>bag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PE</w:t>
      </w:r>
      <w:r>
        <w:rPr>
          <w:spacing w:val="-3"/>
          <w:sz w:val="24"/>
        </w:rPr>
        <w:t xml:space="preserve"> </w:t>
      </w:r>
      <w:r>
        <w:rPr>
          <w:sz w:val="24"/>
        </w:rPr>
        <w:t>bags</w:t>
      </w:r>
      <w:r>
        <w:rPr>
          <w:spacing w:val="1"/>
          <w:sz w:val="24"/>
        </w:rPr>
        <w:t xml:space="preserve"> </w:t>
      </w:r>
      <w:r>
        <w:rPr>
          <w:sz w:val="24"/>
        </w:rPr>
        <w:t>sealed</w:t>
      </w:r>
      <w:r>
        <w:rPr>
          <w:spacing w:val="-2"/>
          <w:sz w:val="24"/>
        </w:rPr>
        <w:t xml:space="preserve"> </w:t>
      </w:r>
      <w:r>
        <w:rPr>
          <w:sz w:val="24"/>
        </w:rPr>
        <w:t>inside.</w:t>
      </w:r>
    </w:p>
    <w:p>
      <w:pPr>
        <w:pStyle w:val="10"/>
        <w:numPr>
          <w:ilvl w:val="0"/>
          <w:numId w:val="1"/>
        </w:numPr>
        <w:tabs>
          <w:tab w:val="left" w:pos="579"/>
          <w:tab w:val="left" w:pos="580"/>
        </w:tabs>
        <w:spacing w:before="45" w:after="0" w:line="278" w:lineRule="auto"/>
        <w:ind w:left="580" w:right="300" w:hanging="420"/>
        <w:jc w:val="left"/>
        <w:rPr>
          <w:rFonts w:ascii="Wingdings" w:hAnsi="Wingdings"/>
          <w:sz w:val="21"/>
        </w:rPr>
      </w:pPr>
      <w:r>
        <w:rPr>
          <w:sz w:val="24"/>
        </w:rPr>
        <w:t>Store</w:t>
      </w:r>
      <w:r>
        <w:rPr>
          <w:spacing w:val="13"/>
          <w:sz w:val="24"/>
        </w:rPr>
        <w:t xml:space="preserve"> </w:t>
      </w:r>
      <w:r>
        <w:rPr>
          <w:sz w:val="24"/>
        </w:rPr>
        <w:t>in</w:t>
      </w:r>
      <w:r>
        <w:rPr>
          <w:spacing w:val="14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well-closed</w:t>
      </w:r>
      <w:r>
        <w:rPr>
          <w:spacing w:val="17"/>
          <w:sz w:val="24"/>
        </w:rPr>
        <w:t xml:space="preserve"> </w:t>
      </w:r>
      <w:r>
        <w:rPr>
          <w:sz w:val="24"/>
        </w:rPr>
        <w:t>bag</w:t>
      </w:r>
      <w:r>
        <w:rPr>
          <w:spacing w:val="17"/>
          <w:sz w:val="24"/>
        </w:rPr>
        <w:t xml:space="preserve"> </w:t>
      </w:r>
      <w:r>
        <w:rPr>
          <w:sz w:val="24"/>
        </w:rPr>
        <w:t>at</w:t>
      </w:r>
      <w:r>
        <w:rPr>
          <w:spacing w:val="15"/>
          <w:sz w:val="24"/>
        </w:rPr>
        <w:t xml:space="preserve"> </w:t>
      </w:r>
      <w:r>
        <w:rPr>
          <w:sz w:val="24"/>
        </w:rPr>
        <w:t>room</w:t>
      </w:r>
      <w:r>
        <w:rPr>
          <w:spacing w:val="15"/>
          <w:sz w:val="24"/>
        </w:rPr>
        <w:t xml:space="preserve"> </w:t>
      </w:r>
      <w:r>
        <w:rPr>
          <w:sz w:val="24"/>
        </w:rPr>
        <w:t>temperature,</w:t>
      </w:r>
      <w:r>
        <w:rPr>
          <w:spacing w:val="18"/>
          <w:sz w:val="24"/>
        </w:rPr>
        <w:t xml:space="preserve"> </w:t>
      </w:r>
      <w:r>
        <w:rPr>
          <w:sz w:val="24"/>
        </w:rPr>
        <w:t>protect</w:t>
      </w:r>
      <w:r>
        <w:rPr>
          <w:spacing w:val="17"/>
          <w:sz w:val="24"/>
        </w:rPr>
        <w:t xml:space="preserve"> </w:t>
      </w:r>
      <w:r>
        <w:rPr>
          <w:sz w:val="24"/>
        </w:rPr>
        <w:t>from</w:t>
      </w:r>
      <w:r>
        <w:rPr>
          <w:spacing w:val="15"/>
          <w:sz w:val="24"/>
        </w:rPr>
        <w:t xml:space="preserve"> </w:t>
      </w:r>
      <w:r>
        <w:rPr>
          <w:sz w:val="24"/>
        </w:rPr>
        <w:t>light,</w:t>
      </w:r>
      <w:r>
        <w:rPr>
          <w:spacing w:val="17"/>
          <w:sz w:val="24"/>
        </w:rPr>
        <w:t xml:space="preserve"> </w:t>
      </w:r>
      <w:r>
        <w:rPr>
          <w:sz w:val="24"/>
        </w:rPr>
        <w:t>moisture</w:t>
      </w:r>
      <w:r>
        <w:rPr>
          <w:spacing w:val="13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pest</w:t>
      </w:r>
      <w:r>
        <w:rPr>
          <w:spacing w:val="-1"/>
          <w:sz w:val="24"/>
        </w:rPr>
        <w:t xml:space="preserve"> </w:t>
      </w:r>
      <w:r>
        <w:rPr>
          <w:sz w:val="24"/>
        </w:rPr>
        <w:t>infestation.</w:t>
      </w:r>
    </w:p>
    <w:p>
      <w:pPr>
        <w:pStyle w:val="10"/>
        <w:numPr>
          <w:ilvl w:val="0"/>
          <w:numId w:val="1"/>
        </w:numPr>
        <w:tabs>
          <w:tab w:val="left" w:pos="579"/>
          <w:tab w:val="left" w:pos="580"/>
        </w:tabs>
        <w:spacing w:before="0" w:after="0" w:line="274" w:lineRule="exact"/>
        <w:ind w:left="580" w:right="0" w:hanging="420"/>
        <w:jc w:val="left"/>
        <w:rPr>
          <w:rFonts w:ascii="Wingdings" w:hAnsi="Wingdings"/>
          <w:sz w:val="21"/>
        </w:rPr>
      </w:pPr>
      <w:r>
        <w:rPr>
          <w:sz w:val="24"/>
        </w:rPr>
        <w:t>Shelf</w:t>
      </w:r>
      <w:r>
        <w:rPr>
          <w:spacing w:val="-3"/>
          <w:sz w:val="24"/>
        </w:rPr>
        <w:t xml:space="preserve"> </w:t>
      </w:r>
      <w:r>
        <w:rPr>
          <w:sz w:val="24"/>
        </w:rPr>
        <w:t>life---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-2"/>
          <w:sz w:val="24"/>
        </w:rPr>
        <w:t xml:space="preserve"> </w:t>
      </w:r>
      <w:r>
        <w:rPr>
          <w:sz w:val="24"/>
        </w:rPr>
        <w:t>years</w:t>
      </w:r>
    </w:p>
    <w:p>
      <w:pPr>
        <w:pStyle w:val="2"/>
        <w:spacing w:before="142"/>
        <w:rPr>
          <w:u w:val="none"/>
        </w:rPr>
      </w:pPr>
      <w:r>
        <w:rPr>
          <w:u w:val="thick"/>
        </w:rPr>
        <w:t>Microbiological</w:t>
      </w:r>
      <w:r>
        <w:rPr>
          <w:spacing w:val="-7"/>
          <w:u w:val="thick"/>
        </w:rPr>
        <w:t xml:space="preserve"> </w:t>
      </w:r>
      <w:r>
        <w:rPr>
          <w:u w:val="thick"/>
        </w:rPr>
        <w:t>Specification:</w:t>
      </w:r>
    </w:p>
    <w:p>
      <w:pPr>
        <w:pStyle w:val="3"/>
        <w:tabs>
          <w:tab w:val="left" w:pos="3990"/>
        </w:tabs>
        <w:spacing w:before="208"/>
        <w:ind w:left="220"/>
        <w:jc w:val="both"/>
      </w:pPr>
      <w:r>
        <w:t>Total</w:t>
      </w:r>
      <w:r>
        <w:rPr>
          <w:spacing w:val="-5"/>
        </w:rPr>
        <w:t xml:space="preserve"> </w:t>
      </w:r>
      <w:r>
        <w:t>viable</w:t>
      </w:r>
      <w:r>
        <w:rPr>
          <w:spacing w:val="-4"/>
        </w:rPr>
        <w:t xml:space="preserve"> </w:t>
      </w:r>
      <w:r>
        <w:t>aerobic</w:t>
      </w:r>
      <w:r>
        <w:rPr>
          <w:spacing w:val="-3"/>
        </w:rPr>
        <w:t xml:space="preserve"> </w:t>
      </w:r>
      <w:r>
        <w:t>count</w:t>
      </w:r>
      <w:r>
        <w:tab/>
      </w:r>
      <w:r>
        <w:t>1,000CFU/gr.max</w:t>
      </w:r>
    </w:p>
    <w:p>
      <w:pPr>
        <w:pStyle w:val="3"/>
        <w:tabs>
          <w:tab w:val="left" w:pos="3990"/>
        </w:tabs>
        <w:spacing w:before="31" w:line="266" w:lineRule="auto"/>
        <w:ind w:left="220" w:right="3220"/>
        <w:jc w:val="both"/>
      </w:pPr>
      <w:r>
        <w:t>Yeast&amp;Molds</w:t>
      </w:r>
      <w:r>
        <w:tab/>
      </w:r>
      <w:r>
        <w:rPr>
          <w:spacing w:val="-2"/>
        </w:rPr>
        <w:t>100CFU/gr.max</w:t>
      </w:r>
      <w:r>
        <w:rPr>
          <w:spacing w:val="-58"/>
        </w:rPr>
        <w:t xml:space="preserve"> </w:t>
      </w:r>
      <w:r>
        <w:t>Bile-tolerant Gram-negative bacteria</w:t>
      </w:r>
      <w:r>
        <w:rPr>
          <w:spacing w:val="1"/>
        </w:rPr>
        <w:t xml:space="preserve"> </w:t>
      </w:r>
      <w:r>
        <w:t>100CFU/gr.max</w:t>
      </w:r>
      <w:r>
        <w:rPr>
          <w:spacing w:val="-57"/>
        </w:rPr>
        <w:t xml:space="preserve"> </w:t>
      </w:r>
      <w:r>
        <w:t>E.Coli</w:t>
      </w:r>
      <w:r>
        <w:tab/>
      </w:r>
      <w:r>
        <w:t>Not</w:t>
      </w:r>
      <w:r>
        <w:rPr>
          <w:spacing w:val="-1"/>
        </w:rPr>
        <w:t xml:space="preserve"> </w:t>
      </w:r>
      <w:r>
        <w:t>detected/g</w:t>
      </w:r>
    </w:p>
    <w:p>
      <w:pPr>
        <w:pStyle w:val="3"/>
        <w:tabs>
          <w:tab w:val="left" w:pos="3990"/>
        </w:tabs>
        <w:spacing w:line="274" w:lineRule="exact"/>
        <w:ind w:left="220"/>
        <w:jc w:val="both"/>
      </w:pPr>
      <w:r>
        <w:t>Staphylococcus</w:t>
      </w:r>
      <w:r>
        <w:rPr>
          <w:spacing w:val="-15"/>
        </w:rPr>
        <w:t xml:space="preserve"> </w:t>
      </w:r>
      <w:r>
        <w:t>Aureus</w:t>
      </w:r>
      <w:r>
        <w:tab/>
      </w:r>
      <w:r>
        <w:t>Not</w:t>
      </w:r>
      <w:r>
        <w:rPr>
          <w:spacing w:val="-3"/>
        </w:rPr>
        <w:t xml:space="preserve"> </w:t>
      </w:r>
      <w:r>
        <w:t>detected/g</w:t>
      </w:r>
    </w:p>
    <w:p>
      <w:pPr>
        <w:pStyle w:val="3"/>
        <w:tabs>
          <w:tab w:val="left" w:pos="3990"/>
        </w:tabs>
        <w:spacing w:before="32"/>
        <w:ind w:left="220"/>
        <w:jc w:val="both"/>
      </w:pPr>
      <w:r>
        <w:t>Salmonella</w:t>
      </w:r>
      <w:r>
        <w:rPr>
          <w:spacing w:val="-2"/>
        </w:rPr>
        <w:t xml:space="preserve"> </w:t>
      </w:r>
      <w:r>
        <w:t>spp</w:t>
      </w:r>
      <w:r>
        <w:tab/>
      </w:r>
      <w:r>
        <w:t>Not</w:t>
      </w:r>
      <w:r>
        <w:rPr>
          <w:spacing w:val="-1"/>
        </w:rPr>
        <w:t xml:space="preserve"> </w:t>
      </w:r>
      <w:r>
        <w:t>detected/10g</w:t>
      </w:r>
    </w:p>
    <w:p>
      <w:pPr>
        <w:pStyle w:val="2"/>
        <w:spacing w:before="131"/>
        <w:rPr>
          <w:u w:val="none"/>
        </w:rPr>
      </w:pPr>
      <w:r>
        <w:rPr>
          <w:u w:val="thick"/>
        </w:rPr>
        <w:t>GMO-Status:</w:t>
      </w:r>
    </w:p>
    <w:p>
      <w:pPr>
        <w:pStyle w:val="3"/>
        <w:spacing w:before="146"/>
        <w:ind w:left="160"/>
        <w:jc w:val="both"/>
      </w:pPr>
      <w:r>
        <w:t>The</w:t>
      </w:r>
      <w:r>
        <w:rPr>
          <w:spacing w:val="-3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GMO</w:t>
      </w:r>
      <w:r>
        <w:rPr>
          <w:spacing w:val="-2"/>
        </w:rPr>
        <w:t xml:space="preserve"> </w:t>
      </w:r>
      <w:r>
        <w:t>product and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free</w:t>
      </w:r>
      <w:r>
        <w:rPr>
          <w:spacing w:val="-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recombinant DNA</w:t>
      </w:r>
    </w:p>
    <w:p>
      <w:pPr>
        <w:pStyle w:val="2"/>
        <w:spacing w:before="146"/>
        <w:rPr>
          <w:u w:val="none"/>
        </w:rPr>
      </w:pPr>
      <w:r>
        <w:rPr>
          <w:u w:val="thick"/>
        </w:rPr>
        <w:t>Irradiation/Radioactivity:</w:t>
      </w:r>
    </w:p>
    <w:p>
      <w:pPr>
        <w:pStyle w:val="3"/>
        <w:spacing w:before="146" w:line="271" w:lineRule="auto"/>
        <w:ind w:left="160"/>
      </w:pPr>
      <w:r>
        <w:t>Yunbo’s</w:t>
      </w:r>
      <w:r>
        <w:rPr>
          <w:spacing w:val="27"/>
        </w:rPr>
        <w:t xml:space="preserve"> </w:t>
      </w:r>
      <w:r>
        <w:t>Magnesium</w:t>
      </w:r>
      <w:r>
        <w:rPr>
          <w:spacing w:val="26"/>
        </w:rPr>
        <w:t xml:space="preserve"> </w:t>
      </w:r>
      <w:r>
        <w:t>phosphate</w:t>
      </w:r>
      <w:r>
        <w:rPr>
          <w:spacing w:val="30"/>
        </w:rPr>
        <w:t xml:space="preserve"> </w:t>
      </w:r>
      <w:r>
        <w:t>tribasic</w:t>
      </w:r>
      <w:r>
        <w:rPr>
          <w:spacing w:val="27"/>
        </w:rPr>
        <w:t xml:space="preserve"> </w:t>
      </w:r>
      <w:r>
        <w:t>was</w:t>
      </w:r>
      <w:r>
        <w:rPr>
          <w:spacing w:val="31"/>
        </w:rPr>
        <w:t xml:space="preserve"> </w:t>
      </w:r>
      <w:r>
        <w:t>never</w:t>
      </w:r>
      <w:r>
        <w:rPr>
          <w:spacing w:val="29"/>
        </w:rPr>
        <w:t xml:space="preserve"> </w:t>
      </w:r>
      <w:r>
        <w:t>subjected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any</w:t>
      </w:r>
      <w:r>
        <w:rPr>
          <w:spacing w:val="28"/>
        </w:rPr>
        <w:t xml:space="preserve"> </w:t>
      </w:r>
      <w:r>
        <w:t>kind</w:t>
      </w:r>
      <w:r>
        <w:rPr>
          <w:spacing w:val="28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ionized</w:t>
      </w:r>
      <w:r>
        <w:rPr>
          <w:spacing w:val="-57"/>
        </w:rPr>
        <w:t xml:space="preserve"> </w:t>
      </w:r>
      <w:r>
        <w:t>irradiation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contains</w:t>
      </w:r>
      <w:r>
        <w:rPr>
          <w:spacing w:val="-1"/>
        </w:rPr>
        <w:t xml:space="preserve"> </w:t>
      </w:r>
      <w:r>
        <w:t>no radioactivity not</w:t>
      </w:r>
      <w:r>
        <w:rPr>
          <w:spacing w:val="-1"/>
        </w:rPr>
        <w:t xml:space="preserve"> </w:t>
      </w:r>
      <w:r>
        <w:t>even</w:t>
      </w:r>
      <w:r>
        <w:rPr>
          <w:spacing w:val="2"/>
        </w:rPr>
        <w:t xml:space="preserve"> </w:t>
      </w:r>
      <w:r>
        <w:t>in minor</w:t>
      </w:r>
      <w:r>
        <w:rPr>
          <w:spacing w:val="-5"/>
        </w:rPr>
        <w:t xml:space="preserve"> </w:t>
      </w:r>
      <w:r>
        <w:t>amounts.</w:t>
      </w:r>
    </w:p>
    <w:p>
      <w:pPr>
        <w:pStyle w:val="2"/>
        <w:rPr>
          <w:u w:val="none"/>
        </w:rPr>
      </w:pPr>
      <w:r>
        <w:rPr>
          <w:u w:val="thick"/>
        </w:rPr>
        <w:t>BSE/TSE:</w:t>
      </w:r>
    </w:p>
    <w:p>
      <w:pPr>
        <w:pStyle w:val="3"/>
        <w:tabs>
          <w:tab w:val="left" w:pos="7319"/>
        </w:tabs>
        <w:spacing w:before="146" w:line="271" w:lineRule="auto"/>
        <w:ind w:left="160" w:right="297"/>
      </w:pPr>
      <w:r>
        <w:t>No</w:t>
      </w:r>
      <w:r>
        <w:rPr>
          <w:spacing w:val="50"/>
        </w:rPr>
        <w:t xml:space="preserve"> </w:t>
      </w:r>
      <w:r>
        <w:t>raw</w:t>
      </w:r>
      <w:r>
        <w:rPr>
          <w:spacing w:val="53"/>
        </w:rPr>
        <w:t xml:space="preserve"> </w:t>
      </w:r>
      <w:r>
        <w:t>materials</w:t>
      </w:r>
      <w:r>
        <w:rPr>
          <w:spacing w:val="54"/>
        </w:rPr>
        <w:t xml:space="preserve"> </w:t>
      </w:r>
      <w:r>
        <w:t>from</w:t>
      </w:r>
      <w:r>
        <w:rPr>
          <w:spacing w:val="51"/>
        </w:rPr>
        <w:t xml:space="preserve"> </w:t>
      </w:r>
      <w:r>
        <w:t>bovine</w:t>
      </w:r>
      <w:r>
        <w:rPr>
          <w:spacing w:val="50"/>
        </w:rPr>
        <w:t xml:space="preserve"> </w:t>
      </w:r>
      <w:r>
        <w:t>origin</w:t>
      </w:r>
      <w:r>
        <w:rPr>
          <w:spacing w:val="51"/>
        </w:rPr>
        <w:t xml:space="preserve"> </w:t>
      </w:r>
      <w:r>
        <w:t>are</w:t>
      </w:r>
      <w:r>
        <w:rPr>
          <w:spacing w:val="52"/>
        </w:rPr>
        <w:t xml:space="preserve"> </w:t>
      </w:r>
      <w:r>
        <w:t>used</w:t>
      </w:r>
      <w:r>
        <w:rPr>
          <w:spacing w:val="51"/>
        </w:rPr>
        <w:t xml:space="preserve"> </w:t>
      </w:r>
      <w:r>
        <w:t>nor</w:t>
      </w:r>
      <w:r>
        <w:rPr>
          <w:spacing w:val="53"/>
        </w:rPr>
        <w:t xml:space="preserve"> </w:t>
      </w:r>
      <w:r>
        <w:t>are</w:t>
      </w:r>
      <w:r>
        <w:rPr>
          <w:spacing w:val="52"/>
        </w:rPr>
        <w:t xml:space="preserve"> </w:t>
      </w:r>
      <w:r>
        <w:t>any</w:t>
      </w:r>
      <w:r>
        <w:rPr>
          <w:spacing w:val="54"/>
        </w:rPr>
        <w:t xml:space="preserve"> </w:t>
      </w:r>
      <w:r>
        <w:t>bovine</w:t>
      </w:r>
      <w:r>
        <w:tab/>
      </w:r>
      <w:r>
        <w:rPr>
          <w:spacing w:val="-1"/>
        </w:rPr>
        <w:t>constituents</w:t>
      </w:r>
      <w:r>
        <w:rPr>
          <w:spacing w:val="-57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product.</w:t>
      </w:r>
    </w:p>
    <w:p>
      <w:pPr>
        <w:spacing w:after="0" w:line="271" w:lineRule="auto"/>
        <w:sectPr>
          <w:headerReference r:id="rId5" w:type="default"/>
          <w:type w:val="continuous"/>
          <w:pgSz w:w="11910" w:h="16840"/>
          <w:pgMar w:top="1660" w:right="1500" w:bottom="280" w:left="1640" w:header="871" w:footer="720" w:gutter="0"/>
          <w:pgNumType w:start="1"/>
          <w:cols w:space="720" w:num="1"/>
        </w:sectPr>
      </w:pPr>
    </w:p>
    <w:p>
      <w:pPr>
        <w:pStyle w:val="2"/>
        <w:spacing w:before="115"/>
        <w:rPr>
          <w:u w:val="none"/>
        </w:rPr>
      </w:pPr>
      <w:r>
        <w:rPr>
          <w:u w:val="thick"/>
        </w:rPr>
        <w:t>Specifications(FCC/USP):</w:t>
      </w:r>
    </w:p>
    <w:p>
      <w:pPr>
        <w:pStyle w:val="3"/>
        <w:ind w:left="0"/>
        <w:rPr>
          <w:b/>
          <w:sz w:val="20"/>
        </w:rPr>
      </w:pPr>
    </w:p>
    <w:p>
      <w:pPr>
        <w:pStyle w:val="3"/>
        <w:spacing w:before="6"/>
        <w:ind w:left="0"/>
        <w:rPr>
          <w:b/>
          <w:sz w:val="14"/>
        </w:rPr>
      </w:pPr>
    </w:p>
    <w:tbl>
      <w:tblPr>
        <w:tblStyle w:val="7"/>
        <w:tblW w:w="0" w:type="auto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73"/>
        <w:gridCol w:w="2430"/>
        <w:gridCol w:w="25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573" w:type="dxa"/>
          </w:tcPr>
          <w:p>
            <w:pPr>
              <w:pStyle w:val="11"/>
              <w:ind w:left="100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Test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Parameter</w:t>
            </w:r>
          </w:p>
        </w:tc>
        <w:tc>
          <w:tcPr>
            <w:tcW w:w="2430" w:type="dxa"/>
          </w:tcPr>
          <w:p>
            <w:pPr>
              <w:pStyle w:val="11"/>
              <w:ind w:left="806" w:right="799"/>
              <w:rPr>
                <w:b/>
                <w:sz w:val="24"/>
              </w:rPr>
            </w:pPr>
            <w:r>
              <w:rPr>
                <w:b/>
                <w:sz w:val="24"/>
              </w:rPr>
              <w:t>FCC</w:t>
            </w:r>
          </w:p>
        </w:tc>
        <w:tc>
          <w:tcPr>
            <w:tcW w:w="2520" w:type="dxa"/>
          </w:tcPr>
          <w:p>
            <w:pPr>
              <w:pStyle w:val="11"/>
              <w:ind w:left="493" w:right="485"/>
              <w:rPr>
                <w:b/>
                <w:sz w:val="24"/>
              </w:rPr>
            </w:pPr>
            <w:r>
              <w:rPr>
                <w:b/>
                <w:sz w:val="24"/>
              </w:rPr>
              <w:t>USP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3573" w:type="dxa"/>
          </w:tcPr>
          <w:p>
            <w:pPr>
              <w:pStyle w:val="1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Identification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2430" w:type="dxa"/>
          </w:tcPr>
          <w:p>
            <w:pPr>
              <w:pStyle w:val="11"/>
              <w:ind w:left="807" w:right="799"/>
              <w:rPr>
                <w:sz w:val="24"/>
              </w:rPr>
            </w:pPr>
            <w:r>
              <w:rPr>
                <w:sz w:val="24"/>
              </w:rPr>
              <w:t>Positive</w:t>
            </w:r>
          </w:p>
        </w:tc>
        <w:tc>
          <w:tcPr>
            <w:tcW w:w="2520" w:type="dxa"/>
          </w:tcPr>
          <w:p>
            <w:pPr>
              <w:pStyle w:val="11"/>
              <w:ind w:left="493" w:right="487"/>
              <w:rPr>
                <w:sz w:val="24"/>
              </w:rPr>
            </w:pPr>
            <w:r>
              <w:rPr>
                <w:sz w:val="24"/>
              </w:rPr>
              <w:t>Positive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573" w:type="dxa"/>
          </w:tcPr>
          <w:p>
            <w:pPr>
              <w:pStyle w:val="11"/>
              <w:spacing w:before="64"/>
              <w:jc w:val="left"/>
              <w:rPr>
                <w:sz w:val="24"/>
              </w:rPr>
            </w:pPr>
            <w:r>
              <w:rPr>
                <w:sz w:val="24"/>
              </w:rPr>
              <w:t>Identification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</w:p>
        </w:tc>
        <w:tc>
          <w:tcPr>
            <w:tcW w:w="2430" w:type="dxa"/>
          </w:tcPr>
          <w:p>
            <w:pPr>
              <w:pStyle w:val="11"/>
              <w:spacing w:before="64"/>
              <w:ind w:left="807" w:right="799"/>
              <w:rPr>
                <w:sz w:val="24"/>
              </w:rPr>
            </w:pPr>
            <w:r>
              <w:rPr>
                <w:sz w:val="24"/>
              </w:rPr>
              <w:t>Positive</w:t>
            </w:r>
          </w:p>
        </w:tc>
        <w:tc>
          <w:tcPr>
            <w:tcW w:w="2520" w:type="dxa"/>
          </w:tcPr>
          <w:p>
            <w:pPr>
              <w:pStyle w:val="11"/>
              <w:spacing w:before="64"/>
              <w:ind w:left="493" w:right="487"/>
              <w:rPr>
                <w:sz w:val="24"/>
              </w:rPr>
            </w:pPr>
            <w:r>
              <w:rPr>
                <w:sz w:val="24"/>
              </w:rPr>
              <w:t>Positive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573" w:type="dxa"/>
          </w:tcPr>
          <w:p>
            <w:pPr>
              <w:pStyle w:val="11"/>
              <w:spacing w:before="61"/>
              <w:jc w:val="left"/>
              <w:rPr>
                <w:sz w:val="15"/>
              </w:rPr>
            </w:pPr>
            <w:r>
              <w:rPr>
                <w:position w:val="2"/>
                <w:sz w:val="24"/>
              </w:rPr>
              <w:t>Assay</w:t>
            </w:r>
            <w:r>
              <w:rPr>
                <w:spacing w:val="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as</w:t>
            </w:r>
            <w:r>
              <w:rPr>
                <w:spacing w:val="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Mg</w:t>
            </w:r>
            <w:r>
              <w:rPr>
                <w:sz w:val="15"/>
              </w:rPr>
              <w:t>3</w:t>
            </w:r>
            <w:r>
              <w:rPr>
                <w:position w:val="2"/>
                <w:sz w:val="24"/>
              </w:rPr>
              <w:t>(PO</w:t>
            </w:r>
            <w:r>
              <w:rPr>
                <w:sz w:val="15"/>
              </w:rPr>
              <w:t>4</w:t>
            </w:r>
            <w:r>
              <w:rPr>
                <w:position w:val="2"/>
                <w:sz w:val="24"/>
              </w:rPr>
              <w:t>)</w:t>
            </w:r>
            <w:r>
              <w:rPr>
                <w:sz w:val="15"/>
              </w:rPr>
              <w:t>2</w:t>
            </w:r>
          </w:p>
        </w:tc>
        <w:tc>
          <w:tcPr>
            <w:tcW w:w="2430" w:type="dxa"/>
          </w:tcPr>
          <w:p>
            <w:pPr>
              <w:pStyle w:val="11"/>
              <w:spacing w:before="64"/>
              <w:ind w:left="529"/>
              <w:jc w:val="left"/>
              <w:rPr>
                <w:sz w:val="24"/>
              </w:rPr>
            </w:pPr>
            <w:r>
              <w:rPr>
                <w:sz w:val="24"/>
              </w:rPr>
              <w:t>98.0%~101.5%</w:t>
            </w:r>
          </w:p>
        </w:tc>
        <w:tc>
          <w:tcPr>
            <w:tcW w:w="2520" w:type="dxa"/>
          </w:tcPr>
          <w:p>
            <w:pPr>
              <w:pStyle w:val="11"/>
              <w:spacing w:before="64"/>
              <w:ind w:left="493" w:right="487"/>
              <w:rPr>
                <w:sz w:val="24"/>
              </w:rPr>
            </w:pPr>
            <w:r>
              <w:rPr>
                <w:sz w:val="24"/>
              </w:rPr>
              <w:t>98.0%~101.5%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573" w:type="dxa"/>
          </w:tcPr>
          <w:p>
            <w:pPr>
              <w:pStyle w:val="11"/>
              <w:jc w:val="left"/>
              <w:rPr>
                <w:sz w:val="24"/>
              </w:rPr>
            </w:pPr>
            <w:r>
              <w:rPr>
                <w:sz w:val="24"/>
              </w:rPr>
              <w:t>Loss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ignition</w:t>
            </w:r>
          </w:p>
        </w:tc>
        <w:tc>
          <w:tcPr>
            <w:tcW w:w="2430" w:type="dxa"/>
          </w:tcPr>
          <w:p>
            <w:pPr>
              <w:pStyle w:val="11"/>
              <w:ind w:left="529"/>
              <w:jc w:val="left"/>
              <w:rPr>
                <w:sz w:val="24"/>
              </w:rPr>
            </w:pPr>
            <w:r>
              <w:rPr>
                <w:sz w:val="24"/>
              </w:rPr>
              <w:t>20.0%~27.0%</w:t>
            </w:r>
          </w:p>
        </w:tc>
        <w:tc>
          <w:tcPr>
            <w:tcW w:w="2520" w:type="dxa"/>
          </w:tcPr>
          <w:p>
            <w:pPr>
              <w:pStyle w:val="11"/>
              <w:ind w:left="493" w:right="487"/>
              <w:rPr>
                <w:sz w:val="24"/>
              </w:rPr>
            </w:pPr>
            <w:r>
              <w:rPr>
                <w:sz w:val="24"/>
              </w:rPr>
              <w:t>20.0%~27.0%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573" w:type="dxa"/>
          </w:tcPr>
          <w:p>
            <w:pPr>
              <w:pStyle w:val="11"/>
              <w:jc w:val="left"/>
              <w:rPr>
                <w:sz w:val="24"/>
              </w:rPr>
            </w:pPr>
            <w:r>
              <w:rPr>
                <w:sz w:val="24"/>
              </w:rPr>
              <w:t>Acid-insoluble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substances</w:t>
            </w:r>
          </w:p>
        </w:tc>
        <w:tc>
          <w:tcPr>
            <w:tcW w:w="2430" w:type="dxa"/>
          </w:tcPr>
          <w:p>
            <w:pPr>
              <w:pStyle w:val="11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</w:p>
        </w:tc>
        <w:tc>
          <w:tcPr>
            <w:tcW w:w="2520" w:type="dxa"/>
          </w:tcPr>
          <w:p>
            <w:pPr>
              <w:pStyle w:val="11"/>
              <w:ind w:left="493" w:right="484"/>
              <w:rPr>
                <w:sz w:val="24"/>
              </w:rPr>
            </w:pPr>
            <w:r>
              <w:rPr>
                <w:sz w:val="24"/>
              </w:rPr>
              <w:t>≤0.2%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573" w:type="dxa"/>
          </w:tcPr>
          <w:p>
            <w:pPr>
              <w:pStyle w:val="11"/>
              <w:spacing w:before="64"/>
              <w:jc w:val="left"/>
              <w:rPr>
                <w:sz w:val="24"/>
              </w:rPr>
            </w:pPr>
            <w:r>
              <w:rPr>
                <w:sz w:val="24"/>
              </w:rPr>
              <w:t>Soluble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Substances</w:t>
            </w:r>
          </w:p>
        </w:tc>
        <w:tc>
          <w:tcPr>
            <w:tcW w:w="2430" w:type="dxa"/>
          </w:tcPr>
          <w:p>
            <w:pPr>
              <w:pStyle w:val="11"/>
              <w:spacing w:before="64"/>
              <w:ind w:left="806" w:right="799"/>
              <w:rPr>
                <w:sz w:val="24"/>
              </w:rPr>
            </w:pPr>
            <w:r>
              <w:rPr>
                <w:sz w:val="24"/>
              </w:rPr>
              <w:t>≤1.5%</w:t>
            </w:r>
          </w:p>
        </w:tc>
        <w:tc>
          <w:tcPr>
            <w:tcW w:w="2520" w:type="dxa"/>
          </w:tcPr>
          <w:p>
            <w:pPr>
              <w:pStyle w:val="11"/>
              <w:spacing w:before="64"/>
              <w:ind w:left="493" w:right="484"/>
              <w:rPr>
                <w:sz w:val="24"/>
              </w:rPr>
            </w:pPr>
            <w:r>
              <w:rPr>
                <w:sz w:val="24"/>
              </w:rPr>
              <w:t>≤1.5%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573" w:type="dxa"/>
          </w:tcPr>
          <w:p>
            <w:pPr>
              <w:pStyle w:val="11"/>
              <w:spacing w:before="64"/>
              <w:jc w:val="left"/>
              <w:rPr>
                <w:sz w:val="24"/>
              </w:rPr>
            </w:pPr>
            <w:r>
              <w:rPr>
                <w:sz w:val="24"/>
              </w:rPr>
              <w:t>Carbonate</w:t>
            </w:r>
          </w:p>
        </w:tc>
        <w:tc>
          <w:tcPr>
            <w:tcW w:w="2430" w:type="dxa"/>
          </w:tcPr>
          <w:p>
            <w:pPr>
              <w:pStyle w:val="11"/>
              <w:spacing w:before="64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</w:p>
        </w:tc>
        <w:tc>
          <w:tcPr>
            <w:tcW w:w="2520" w:type="dxa"/>
          </w:tcPr>
          <w:p>
            <w:pPr>
              <w:pStyle w:val="11"/>
              <w:spacing w:before="64"/>
              <w:ind w:left="492" w:right="487"/>
              <w:rPr>
                <w:sz w:val="24"/>
              </w:rPr>
            </w:pPr>
            <w:r>
              <w:rPr>
                <w:sz w:val="24"/>
              </w:rPr>
              <w:t>Passes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573" w:type="dxa"/>
          </w:tcPr>
          <w:p>
            <w:pPr>
              <w:pStyle w:val="11"/>
              <w:jc w:val="left"/>
              <w:rPr>
                <w:sz w:val="24"/>
              </w:rPr>
            </w:pPr>
            <w:r>
              <w:rPr>
                <w:sz w:val="24"/>
              </w:rPr>
              <w:t>Fluoride</w:t>
            </w:r>
          </w:p>
        </w:tc>
        <w:tc>
          <w:tcPr>
            <w:tcW w:w="2430" w:type="dxa"/>
          </w:tcPr>
          <w:p>
            <w:pPr>
              <w:pStyle w:val="11"/>
              <w:ind w:left="726"/>
              <w:jc w:val="left"/>
              <w:rPr>
                <w:sz w:val="24"/>
              </w:rPr>
            </w:pPr>
            <w:r>
              <w:rPr>
                <w:sz w:val="24"/>
              </w:rPr>
              <w:t>≤10.0ppm</w:t>
            </w:r>
          </w:p>
        </w:tc>
        <w:tc>
          <w:tcPr>
            <w:tcW w:w="2520" w:type="dxa"/>
          </w:tcPr>
          <w:p>
            <w:pPr>
              <w:pStyle w:val="11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573" w:type="dxa"/>
          </w:tcPr>
          <w:p>
            <w:pPr>
              <w:pStyle w:val="11"/>
              <w:jc w:val="left"/>
              <w:rPr>
                <w:sz w:val="24"/>
              </w:rPr>
            </w:pPr>
            <w:r>
              <w:rPr>
                <w:sz w:val="24"/>
              </w:rPr>
              <w:t>Chloride</w:t>
            </w:r>
          </w:p>
        </w:tc>
        <w:tc>
          <w:tcPr>
            <w:tcW w:w="2430" w:type="dxa"/>
          </w:tcPr>
          <w:p>
            <w:pPr>
              <w:pStyle w:val="11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</w:p>
        </w:tc>
        <w:tc>
          <w:tcPr>
            <w:tcW w:w="2520" w:type="dxa"/>
          </w:tcPr>
          <w:p>
            <w:pPr>
              <w:pStyle w:val="11"/>
              <w:ind w:left="493" w:right="484"/>
              <w:rPr>
                <w:sz w:val="24"/>
              </w:rPr>
            </w:pPr>
            <w:r>
              <w:rPr>
                <w:sz w:val="24"/>
              </w:rPr>
              <w:t>≤0.14%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573" w:type="dxa"/>
          </w:tcPr>
          <w:p>
            <w:pPr>
              <w:pStyle w:val="11"/>
              <w:spacing w:before="64"/>
              <w:jc w:val="left"/>
              <w:rPr>
                <w:sz w:val="24"/>
              </w:rPr>
            </w:pPr>
            <w:r>
              <w:rPr>
                <w:sz w:val="24"/>
              </w:rPr>
              <w:t>Sulfate</w:t>
            </w:r>
          </w:p>
        </w:tc>
        <w:tc>
          <w:tcPr>
            <w:tcW w:w="2430" w:type="dxa"/>
          </w:tcPr>
          <w:p>
            <w:pPr>
              <w:pStyle w:val="11"/>
              <w:spacing w:before="64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</w:p>
        </w:tc>
        <w:tc>
          <w:tcPr>
            <w:tcW w:w="2520" w:type="dxa"/>
          </w:tcPr>
          <w:p>
            <w:pPr>
              <w:pStyle w:val="11"/>
              <w:spacing w:before="64"/>
              <w:ind w:left="493" w:right="484"/>
              <w:rPr>
                <w:sz w:val="24"/>
              </w:rPr>
            </w:pPr>
            <w:r>
              <w:rPr>
                <w:sz w:val="24"/>
              </w:rPr>
              <w:t>≤0.6%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573" w:type="dxa"/>
          </w:tcPr>
          <w:p>
            <w:pPr>
              <w:pStyle w:val="11"/>
              <w:spacing w:before="64"/>
              <w:jc w:val="left"/>
              <w:rPr>
                <w:sz w:val="24"/>
              </w:rPr>
            </w:pPr>
            <w:r>
              <w:rPr>
                <w:sz w:val="24"/>
              </w:rPr>
              <w:t>Limit 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Nitrate</w:t>
            </w:r>
          </w:p>
        </w:tc>
        <w:tc>
          <w:tcPr>
            <w:tcW w:w="2430" w:type="dxa"/>
          </w:tcPr>
          <w:p>
            <w:pPr>
              <w:pStyle w:val="11"/>
              <w:spacing w:before="64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</w:p>
        </w:tc>
        <w:tc>
          <w:tcPr>
            <w:tcW w:w="2520" w:type="dxa"/>
          </w:tcPr>
          <w:p>
            <w:pPr>
              <w:pStyle w:val="11"/>
              <w:spacing w:before="64"/>
              <w:ind w:left="493" w:right="487"/>
              <w:rPr>
                <w:sz w:val="24"/>
              </w:rPr>
            </w:pPr>
            <w:r>
              <w:rPr>
                <w:sz w:val="24"/>
              </w:rPr>
              <w:t>Negative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573" w:type="dxa"/>
          </w:tcPr>
          <w:p>
            <w:pPr>
              <w:pStyle w:val="11"/>
              <w:jc w:val="left"/>
              <w:rPr>
                <w:sz w:val="24"/>
              </w:rPr>
            </w:pPr>
            <w:r>
              <w:rPr>
                <w:sz w:val="24"/>
              </w:rPr>
              <w:t>Barium</w:t>
            </w:r>
          </w:p>
        </w:tc>
        <w:tc>
          <w:tcPr>
            <w:tcW w:w="2430" w:type="dxa"/>
          </w:tcPr>
          <w:p>
            <w:pPr>
              <w:pStyle w:val="11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</w:p>
        </w:tc>
        <w:tc>
          <w:tcPr>
            <w:tcW w:w="2520" w:type="dxa"/>
          </w:tcPr>
          <w:p>
            <w:pPr>
              <w:pStyle w:val="11"/>
              <w:ind w:left="493" w:right="487"/>
              <w:rPr>
                <w:sz w:val="24"/>
              </w:rPr>
            </w:pPr>
            <w:r>
              <w:rPr>
                <w:sz w:val="24"/>
              </w:rPr>
              <w:t>Negative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573" w:type="dxa"/>
          </w:tcPr>
          <w:p>
            <w:pPr>
              <w:pStyle w:val="11"/>
              <w:jc w:val="left"/>
              <w:rPr>
                <w:sz w:val="24"/>
              </w:rPr>
            </w:pPr>
            <w:r>
              <w:rPr>
                <w:sz w:val="24"/>
              </w:rPr>
              <w:t>Calcium</w:t>
            </w:r>
          </w:p>
        </w:tc>
        <w:tc>
          <w:tcPr>
            <w:tcW w:w="2430" w:type="dxa"/>
          </w:tcPr>
          <w:p>
            <w:pPr>
              <w:pStyle w:val="11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</w:p>
        </w:tc>
        <w:tc>
          <w:tcPr>
            <w:tcW w:w="2520" w:type="dxa"/>
          </w:tcPr>
          <w:p>
            <w:pPr>
              <w:pStyle w:val="11"/>
              <w:ind w:left="493" w:right="483"/>
              <w:rPr>
                <w:sz w:val="24"/>
              </w:rPr>
            </w:pPr>
            <w:r>
              <w:rPr>
                <w:sz w:val="24"/>
              </w:rPr>
              <w:t>Complies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573" w:type="dxa"/>
          </w:tcPr>
          <w:p>
            <w:pPr>
              <w:pStyle w:val="11"/>
              <w:spacing w:before="64"/>
              <w:jc w:val="left"/>
              <w:rPr>
                <w:sz w:val="24"/>
              </w:rPr>
            </w:pPr>
            <w:r>
              <w:rPr>
                <w:sz w:val="24"/>
              </w:rPr>
              <w:t>Dibasic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salt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magnesium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oxide</w:t>
            </w:r>
          </w:p>
        </w:tc>
        <w:tc>
          <w:tcPr>
            <w:tcW w:w="2430" w:type="dxa"/>
          </w:tcPr>
          <w:p>
            <w:pPr>
              <w:pStyle w:val="11"/>
              <w:spacing w:before="64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</w:p>
        </w:tc>
        <w:tc>
          <w:tcPr>
            <w:tcW w:w="2520" w:type="dxa"/>
          </w:tcPr>
          <w:p>
            <w:pPr>
              <w:pStyle w:val="11"/>
              <w:spacing w:before="64"/>
              <w:ind w:left="493" w:right="483"/>
              <w:rPr>
                <w:sz w:val="24"/>
              </w:rPr>
            </w:pPr>
            <w:r>
              <w:rPr>
                <w:sz w:val="24"/>
              </w:rPr>
              <w:t>Complies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573" w:type="dxa"/>
          </w:tcPr>
          <w:p>
            <w:pPr>
              <w:pStyle w:val="11"/>
              <w:spacing w:before="64"/>
              <w:jc w:val="left"/>
              <w:rPr>
                <w:sz w:val="24"/>
              </w:rPr>
            </w:pPr>
            <w:r>
              <w:rPr>
                <w:sz w:val="24"/>
              </w:rPr>
              <w:t>Heavy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Metals</w:t>
            </w:r>
          </w:p>
        </w:tc>
        <w:tc>
          <w:tcPr>
            <w:tcW w:w="2430" w:type="dxa"/>
          </w:tcPr>
          <w:p>
            <w:pPr>
              <w:pStyle w:val="11"/>
              <w:spacing w:before="64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</w:p>
        </w:tc>
        <w:tc>
          <w:tcPr>
            <w:tcW w:w="2520" w:type="dxa"/>
          </w:tcPr>
          <w:p>
            <w:pPr>
              <w:pStyle w:val="11"/>
              <w:spacing w:before="64"/>
              <w:ind w:left="493" w:right="483"/>
              <w:rPr>
                <w:sz w:val="24"/>
              </w:rPr>
            </w:pPr>
            <w:r>
              <w:rPr>
                <w:sz w:val="24"/>
              </w:rPr>
              <w:t>≤30.0ppm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573" w:type="dxa"/>
          </w:tcPr>
          <w:p>
            <w:pPr>
              <w:pStyle w:val="11"/>
              <w:jc w:val="left"/>
              <w:rPr>
                <w:sz w:val="24"/>
              </w:rPr>
            </w:pPr>
            <w:r>
              <w:rPr>
                <w:sz w:val="24"/>
              </w:rPr>
              <w:t>Arsenic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(As)</w:t>
            </w:r>
          </w:p>
        </w:tc>
        <w:tc>
          <w:tcPr>
            <w:tcW w:w="2430" w:type="dxa"/>
          </w:tcPr>
          <w:p>
            <w:pPr>
              <w:pStyle w:val="11"/>
              <w:ind w:left="786"/>
              <w:jc w:val="left"/>
              <w:rPr>
                <w:sz w:val="24"/>
              </w:rPr>
            </w:pPr>
            <w:r>
              <w:rPr>
                <w:sz w:val="24"/>
              </w:rPr>
              <w:t>≤3.0ppm</w:t>
            </w:r>
          </w:p>
        </w:tc>
        <w:tc>
          <w:tcPr>
            <w:tcW w:w="2520" w:type="dxa"/>
          </w:tcPr>
          <w:p>
            <w:pPr>
              <w:pStyle w:val="11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3573" w:type="dxa"/>
          </w:tcPr>
          <w:p>
            <w:pPr>
              <w:pStyle w:val="11"/>
              <w:spacing w:before="50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sz w:val="24"/>
              </w:rPr>
              <w:t>Lead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rFonts w:hint="eastAsia" w:ascii="宋体" w:eastAsia="宋体"/>
                <w:sz w:val="24"/>
              </w:rPr>
              <w:t>（</w:t>
            </w:r>
            <w:r>
              <w:rPr>
                <w:sz w:val="24"/>
              </w:rPr>
              <w:t>Pb</w:t>
            </w:r>
            <w:r>
              <w:rPr>
                <w:rFonts w:hint="eastAsia" w:ascii="宋体" w:eastAsia="宋体"/>
                <w:sz w:val="24"/>
              </w:rPr>
              <w:t>）</w:t>
            </w:r>
          </w:p>
        </w:tc>
        <w:tc>
          <w:tcPr>
            <w:tcW w:w="2430" w:type="dxa"/>
          </w:tcPr>
          <w:p>
            <w:pPr>
              <w:pStyle w:val="11"/>
              <w:ind w:left="786"/>
              <w:jc w:val="left"/>
              <w:rPr>
                <w:sz w:val="24"/>
              </w:rPr>
            </w:pPr>
            <w:r>
              <w:rPr>
                <w:sz w:val="24"/>
              </w:rPr>
              <w:t>≤2.0ppm</w:t>
            </w:r>
          </w:p>
        </w:tc>
        <w:tc>
          <w:tcPr>
            <w:tcW w:w="2520" w:type="dxa"/>
          </w:tcPr>
          <w:p>
            <w:pPr>
              <w:pStyle w:val="11"/>
              <w:ind w:left="493" w:right="483"/>
              <w:rPr>
                <w:sz w:val="24"/>
              </w:rPr>
            </w:pPr>
            <w:r>
              <w:rPr>
                <w:sz w:val="24"/>
              </w:rPr>
              <w:t>≤5.0ppm</w:t>
            </w:r>
          </w:p>
        </w:tc>
      </w:tr>
    </w:tbl>
    <w:p>
      <w:bookmarkStart w:id="0" w:name="_GoBack"/>
      <w:bookmarkEnd w:id="0"/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3898265</wp:posOffset>
            </wp:positionH>
            <wp:positionV relativeFrom="paragraph">
              <wp:posOffset>176530</wp:posOffset>
            </wp:positionV>
            <wp:extent cx="1666875" cy="895350"/>
            <wp:effectExtent l="0" t="0" r="9525" b="0"/>
            <wp:wrapNone/>
            <wp:docPr id="1" name="图片 1" descr="a552fe324087d30b560a63f4eb1fc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552fe324087d30b560a63f4eb1fc0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660" w:right="1500" w:bottom="280" w:left="1640" w:header="871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default"/>
        <w:b/>
        <w:bCs/>
        <w:w w:val="110"/>
        <w:sz w:val="22"/>
        <w:szCs w:val="32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-158750</wp:posOffset>
          </wp:positionV>
          <wp:extent cx="1144270" cy="784860"/>
          <wp:effectExtent l="0" t="0" r="0" b="0"/>
          <wp:wrapNone/>
          <wp:docPr id="4" name="图片 4" descr="35bd8e3fa2408356770f8c7932b5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35bd8e3fa2408356770f8c7932b5150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>
                          <a:alpha val="100000"/>
                        </a:srgbClr>
                      </a:clrFrom>
                      <a:clrTo>
                        <a:srgbClr val="FFFFFF">
                          <a:alpha val="100000"/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270" cy="784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default"/>
        <w:b/>
        <w:bCs/>
        <w:w w:val="110"/>
        <w:sz w:val="22"/>
        <w:szCs w:val="32"/>
      </w:rPr>
      <w:t>EPOCH MASTER GLOBAL BUSINESS (JIANGSU) INC.</w:t>
    </w:r>
  </w:p>
  <w:p>
    <w:pPr>
      <w:pStyle w:val="5"/>
      <w:jc w:val="center"/>
      <w:rPr>
        <w:rFonts w:hint="default"/>
        <w:w w:val="110"/>
      </w:rPr>
    </w:pPr>
    <w:r>
      <w:rPr>
        <w:rFonts w:hint="default"/>
        <w:w w:val="110"/>
      </w:rPr>
      <w:t>RM.3-93,TENGFEI BUILDING,NO.88 JIANGMIAO RD.,</w:t>
    </w:r>
  </w:p>
  <w:p>
    <w:pPr>
      <w:pStyle w:val="5"/>
      <w:jc w:val="center"/>
      <w:rPr>
        <w:rFonts w:hint="default"/>
        <w:w w:val="110"/>
      </w:rPr>
    </w:pPr>
    <w:r>
      <w:rPr>
        <w:rFonts w:hint="default"/>
        <w:w w:val="110"/>
      </w:rPr>
      <w:t>RESEARCH AND</w:t>
    </w:r>
    <w:r>
      <w:rPr>
        <w:rFonts w:hint="eastAsia" w:eastAsia="宋体"/>
        <w:w w:val="110"/>
        <w:lang w:val="en-US" w:eastAsia="zh-CN"/>
      </w:rPr>
      <w:t xml:space="preserve"> </w:t>
    </w:r>
    <w:r>
      <w:rPr>
        <w:rFonts w:hint="default"/>
        <w:w w:val="110"/>
      </w:rPr>
      <w:t>INNOVATION</w:t>
    </w:r>
    <w:r>
      <w:rPr>
        <w:rFonts w:hint="eastAsia" w:eastAsia="宋体"/>
        <w:w w:val="110"/>
        <w:lang w:val="en-US" w:eastAsia="zh-CN"/>
      </w:rPr>
      <w:t xml:space="preserve"> </w:t>
    </w:r>
    <w:r>
      <w:rPr>
        <w:rFonts w:hint="default"/>
        <w:w w:val="110"/>
      </w:rPr>
      <w:t>PARK,NANJING ZONE,</w:t>
    </w:r>
  </w:p>
  <w:p>
    <w:pPr>
      <w:pStyle w:val="5"/>
      <w:jc w:val="center"/>
      <w:rPr>
        <w:rFonts w:hint="default"/>
        <w:w w:val="110"/>
      </w:rPr>
    </w:pPr>
    <w:r>
      <w:rPr>
        <w:rFonts w:hint="default"/>
        <w:w w:val="110"/>
      </w:rPr>
      <w:t>(JIANGSU) PILOT FREE TRADE ZONE, CHINA</w:t>
    </w:r>
  </w:p>
  <w:p>
    <w:pPr>
      <w:pStyle w:val="3"/>
      <w:spacing w:line="14" w:lineRule="auto"/>
      <w:ind w:left="0"/>
      <w:rPr>
        <w:sz w:val="20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-1452880</wp:posOffset>
              </wp:positionH>
              <wp:positionV relativeFrom="paragraph">
                <wp:posOffset>41910</wp:posOffset>
              </wp:positionV>
              <wp:extent cx="8033385" cy="0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03338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0000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14.4pt;margin-top:3.3pt;height:0pt;width:632.55pt;z-index:251661312;mso-width-relative:page;mso-height-relative:page;" filled="f" stroked="t" coordsize="21600,21600" o:gfxdata="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eoGWe2AAAAAkBAAAPAAAAAAAAAAEAIAAAACIAAABkcnMvZG93bnJldi54bWxQ&#10;SwECFAAUAAAACACHTuJAMfgsi/cBAADiAwAADgAAAAAAAAABACAAAAAnAQAAZHJzL2Uyb0RvYy54&#10;bWxQSwUGAAAAAAYABgBZAQAAkAUAAAAA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0"/>
      <w:numFmt w:val="bullet"/>
      <w:lvlText w:val=""/>
      <w:lvlJc w:val="left"/>
      <w:pPr>
        <w:ind w:left="580" w:hanging="420"/>
      </w:pPr>
      <w:rPr>
        <w:rFonts w:hint="default"/>
        <w:w w:val="10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98" w:hanging="42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217" w:hanging="42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035" w:hanging="42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854" w:hanging="42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673" w:hanging="42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491" w:hanging="42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310" w:hanging="42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128" w:hanging="4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docVars>
    <w:docVar w:name="commondata" w:val="eyJoZGlkIjoiYjljNDYzY2QyMmY0Y2FmNzkzYjAyYmI0MTY3MDkxYTMifQ=="/>
  </w:docVars>
  <w:rsids>
    <w:rsidRoot w:val="00000000"/>
    <w:rsid w:val="1EED3E49"/>
    <w:rsid w:val="22EA2C8A"/>
    <w:rsid w:val="2A9B5DBC"/>
    <w:rsid w:val="318358AE"/>
    <w:rsid w:val="502E4487"/>
    <w:rsid w:val="6C5B67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111"/>
      <w:ind w:left="160"/>
      <w:outlineLvl w:val="1"/>
    </w:pPr>
    <w:rPr>
      <w:rFonts w:ascii="Times New Roman" w:hAnsi="Times New Roman" w:eastAsia="Times New Roman" w:cs="Times New Roman"/>
      <w:b/>
      <w:bCs/>
      <w:sz w:val="32"/>
      <w:szCs w:val="32"/>
      <w:u w:val="single" w:color="000000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58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qFormat/>
    <w:uiPriority w:val="1"/>
    <w:pPr>
      <w:spacing w:before="70"/>
      <w:ind w:left="1890" w:right="2029"/>
      <w:jc w:val="center"/>
    </w:pPr>
    <w:rPr>
      <w:rFonts w:ascii="Times New Roman" w:hAnsi="Times New Roman" w:eastAsia="Times New Roman" w:cs="Times New Roman"/>
      <w:b/>
      <w:bCs/>
      <w:sz w:val="44"/>
      <w:szCs w:val="44"/>
      <w:lang w:val="en-US" w:eastAsia="en-US" w:bidi="ar-SA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580" w:hanging="420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11">
    <w:name w:val="Table Paragraph"/>
    <w:basedOn w:val="1"/>
    <w:qFormat/>
    <w:uiPriority w:val="1"/>
    <w:pPr>
      <w:spacing w:before="63"/>
      <w:ind w:left="106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238</Words>
  <Characters>1477</Characters>
  <TotalTime>0</TotalTime>
  <ScaleCrop>false</ScaleCrop>
  <LinksUpToDate>false</LinksUpToDate>
  <CharactersWithSpaces>1628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2022-11-17T01:53:00Z</dcterms:created>
  <dc:creator>Administrator</dc:creator>
  <cp:lastModifiedBy>吴惠婷</cp:lastModifiedBy>
  <dcterms:modified xsi:type="dcterms:W3CDTF">2022-12-14T07:23:43Z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2022-11-17T00:00:00Z</vt:filetime>
  </property>
  <property fmtid="{D5CDD505-2E9C-101B-9397-08002B2CF9AE}" pid="5" name="KSOProductBuildVer">
    <vt:lpwstr>2052-11.1.0.12763</vt:lpwstr>
  </property>
  <property fmtid="{D5CDD505-2E9C-101B-9397-08002B2CF9AE}" pid="6" name="ICV">
    <vt:lpwstr>91D32579705F4929A23EF02AD91802D9</vt:lpwstr>
  </property>
</Properties>
</file>